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bookmarkStart w:id="0" w:name="Title"/>
      <w:r>
        <w:rPr>
          <w:rFonts w:ascii="宋体" w:hAnsi="宋体" w:eastAsia="宋体" w:cs="Arial"/>
          <w:bCs/>
          <w:sz w:val="44"/>
          <w:szCs w:val="44"/>
        </w:rPr>
        <w:t>全国人民代表大会常务委员会</w:t>
      </w: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r>
        <w:rPr>
          <w:rFonts w:ascii="宋体" w:hAnsi="宋体" w:eastAsia="宋体" w:cs="Arial"/>
          <w:bCs/>
          <w:sz w:val="44"/>
          <w:szCs w:val="44"/>
        </w:rPr>
        <w:t>关于军队战时调整适用《中华人民共和国</w:t>
      </w: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r>
        <w:rPr>
          <w:rFonts w:ascii="宋体" w:hAnsi="宋体" w:eastAsia="宋体" w:cs="Arial"/>
          <w:bCs/>
          <w:sz w:val="44"/>
          <w:szCs w:val="44"/>
        </w:rPr>
        <w:t>刑事诉讼法》部分规定的决定</w:t>
      </w:r>
      <w:bookmarkEnd w:id="0"/>
    </w:p>
    <w:p>
      <w:pPr>
        <w:ind w:right="632" w:rightChars="200"/>
        <w:rPr>
          <w:rFonts w:ascii="宋体" w:hAnsi="宋体" w:eastAsia="宋体" w:cs="Arial"/>
          <w:bCs/>
          <w:szCs w:val="32"/>
        </w:rPr>
      </w:pPr>
      <w:bookmarkStart w:id="1" w:name="AddRun"/>
    </w:p>
    <w:bookmarkEnd w:id="1"/>
    <w:p>
      <w:pPr>
        <w:ind w:left="632" w:leftChars="200" w:right="632" w:rightChars="200"/>
        <w:rPr>
          <w:rFonts w:hint="eastAsia" w:ascii="宋体" w:hAnsi="宋体" w:eastAsia="宋体" w:cs="Arial"/>
          <w:bCs/>
          <w:szCs w:val="32"/>
        </w:rPr>
      </w:pPr>
      <w:bookmarkStart w:id="2" w:name="TitleDescription"/>
      <w:r>
        <w:rPr>
          <w:rFonts w:hint="eastAsia" w:ascii="楷体_GB2312" w:hAnsi="Arial" w:eastAsia="楷体_GB2312" w:cs="Arial"/>
          <w:szCs w:val="32"/>
        </w:rPr>
        <w:t>（</w:t>
      </w:r>
      <w:r>
        <w:rPr>
          <w:rFonts w:hint="default" w:ascii="Times New Roman" w:hAnsi="Times New Roman" w:eastAsia="楷体_GB2312" w:cs="Times New Roman"/>
          <w:szCs w:val="32"/>
        </w:rPr>
        <w:t>2023</w:t>
      </w:r>
      <w:r>
        <w:rPr>
          <w:rFonts w:hint="eastAsia" w:ascii="楷体_GB2312" w:hAnsi="Arial" w:eastAsia="楷体_GB2312" w:cs="Arial"/>
          <w:szCs w:val="32"/>
        </w:rPr>
        <w:t>年</w:t>
      </w:r>
      <w:r>
        <w:rPr>
          <w:rFonts w:hint="default" w:ascii="Times New Roman" w:hAnsi="Times New Roman" w:eastAsia="楷体_GB2312" w:cs="Times New Roman"/>
          <w:szCs w:val="32"/>
        </w:rPr>
        <w:t>2</w:t>
      </w:r>
      <w:r>
        <w:rPr>
          <w:rFonts w:hint="eastAsia" w:ascii="楷体_GB2312" w:hAnsi="Arial" w:eastAsia="楷体_GB2312" w:cs="Arial"/>
          <w:szCs w:val="32"/>
        </w:rPr>
        <w:t>月</w:t>
      </w:r>
      <w:r>
        <w:rPr>
          <w:rFonts w:hint="default" w:ascii="Times New Roman" w:hAnsi="Times New Roman" w:eastAsia="楷体_GB2312" w:cs="Times New Roman"/>
          <w:szCs w:val="32"/>
        </w:rPr>
        <w:t>24</w:t>
      </w:r>
      <w:r>
        <w:rPr>
          <w:rFonts w:hint="eastAsia" w:ascii="楷体_GB2312" w:hAnsi="Arial" w:eastAsia="楷体_GB2312" w:cs="Arial"/>
          <w:szCs w:val="32"/>
        </w:rPr>
        <w:t>日第十三届全国人民代表大会常务委员会第三十九次会议通过）</w:t>
      </w:r>
      <w:bookmarkEnd w:id="2"/>
    </w:p>
    <w:p>
      <w:pPr>
        <w:spacing w:line="240" w:lineRule="auto"/>
        <w:ind w:firstLine="0"/>
        <w:jc w:val="both"/>
      </w:pP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为贯彻落实党的二十大精神，完善中国特色军事法治体系，从法律制度上保障人民军队有效履行新时代使命任务、提高打赢能力，第十三届全国人民代表大会常务委员会第三十九次会议决定：军队战时开展刑事诉讼活动，遵循《中华人民共和国刑法》、《中华人民共和国刑事诉讼法》确定的基本原则、基本制度、基本程序，适应战时刑事诉讼特点，保障诉讼当事人合法权益，维护司法公平正义，可以调整适用《中华人民共和国刑事诉讼法》关于管辖、辩护与代理、强制措施、立案、侦查、起诉、审判、执行等部分具体规定。具体由中央军事委员会规定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本决定自</w:t>
      </w:r>
      <w:r>
        <w:rPr>
          <w:rFonts w:hint="default" w:ascii="Times New Roman" w:hAnsi="Times New Roman" w:eastAsia="仿宋_GB2312" w:cs="Times New Roman"/>
          <w:sz w:val="32"/>
        </w:rPr>
        <w:t>202</w:t>
      </w:r>
      <w:bookmarkStart w:id="3" w:name="_GoBack"/>
      <w:bookmarkEnd w:id="3"/>
      <w:r>
        <w:rPr>
          <w:rFonts w:hint="default" w:ascii="Times New Roman" w:hAnsi="Times New Roman" w:eastAsia="仿宋_GB2312" w:cs="Times New Roman"/>
          <w:sz w:val="32"/>
        </w:rPr>
        <w:t>3</w:t>
      </w:r>
      <w:r>
        <w:rPr>
          <w:rFonts w:ascii="仿宋_GB2312" w:hAnsi="仿宋_GB2312" w:eastAsia="仿宋_GB2312" w:cs="仿宋_GB2312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</w:rPr>
        <w:t>2</w:t>
      </w:r>
      <w:r>
        <w:rPr>
          <w:rFonts w:ascii="仿宋_GB2312" w:hAnsi="仿宋_GB2312" w:eastAsia="仿宋_GB2312" w:cs="仿宋_GB2312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</w:rPr>
        <w:t>25</w:t>
      </w:r>
      <w:r>
        <w:rPr>
          <w:rFonts w:ascii="仿宋_GB2312" w:hAnsi="仿宋_GB2312" w:eastAsia="仿宋_GB2312" w:cs="仿宋_GB2312"/>
          <w:sz w:val="32"/>
        </w:rPr>
        <w:t>日起施行。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eastAsia="宋体"/>
        <w:lang w:eastAsia="zh-CN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  <w:r>
      <w:rPr>
        <w:rFonts w:hint="eastAsia" w:ascii="宋体" w:hAnsi="宋体" w:eastAsia="宋体"/>
        <w:sz w:val="28"/>
        <w:szCs w:val="28"/>
        <w:lang w:eastAsia="zh-CN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  <w:lang w:eastAsia="zh-CN"/>
      </w:rPr>
      <w:t>　</w:t>
    </w: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03F"/>
    <w:rsid w:val="00005CBA"/>
    <w:rsid w:val="00067A46"/>
    <w:rsid w:val="000B3473"/>
    <w:rsid w:val="000D062B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D9804AC"/>
    <w:rsid w:val="3DE63740"/>
    <w:rsid w:val="481351D2"/>
    <w:rsid w:val="53543565"/>
    <w:rsid w:val="558A062C"/>
    <w:rsid w:val="5B7A7B97"/>
    <w:rsid w:val="622F1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unhideWhenUsed/>
    <w:uiPriority w:val="99"/>
    <w:rPr>
      <w:color w:val="954F72"/>
      <w:u w:val="single"/>
    </w:rPr>
  </w:style>
  <w:style w:type="character" w:styleId="6">
    <w:name w:val="Hyperlink"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uiPriority w:val="99"/>
    <w:rPr>
      <w:sz w:val="18"/>
      <w:szCs w:val="18"/>
    </w:rPr>
  </w:style>
  <w:style w:type="character" w:customStyle="1" w:styleId="9">
    <w:name w:val="页眉 字符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47</Characters>
  <Lines>1</Lines>
  <Paragraphs>1</Paragraphs>
  <TotalTime>1</TotalTime>
  <ScaleCrop>false</ScaleCrop>
  <LinksUpToDate>false</LinksUpToDate>
  <CharactersWithSpaces>54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Administrator</cp:lastModifiedBy>
  <dcterms:modified xsi:type="dcterms:W3CDTF">2023-02-24T11:51:08Z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2052-10.1.0.7520</vt:lpwstr>
  </property>
</Properties>
</file>